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5E9" w:rsidRDefault="00843848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HRVATSKIH CESTA ZA PRVO POLUGODIŠTE 2025. GODINE</w:t>
      </w:r>
    </w:p>
    <w:p w:rsidR="007B55E9" w:rsidRDefault="00843848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Trgovačko društvo Hrvatske ceste d.o.o. osnovano je s ciljem ulaganja u cestovnu infrastrukturu kako bi se </w:t>
      </w:r>
      <w:r>
        <w:rPr>
          <w:rFonts w:ascii="Times New Roman" w:hAnsi="Times New Roman" w:cs="Times New Roman"/>
          <w:sz w:val="24"/>
        </w:rPr>
        <w:t>osigurao siguran promet, poboljšala kvaliteta života u zajednici kao i ekonomski prosperitet. Glavni zadatak Društva je kvalitetno cestovno povezivanje hrvatskih regija, uz povezivanje na europske prometne pravce. Razvojem cestovne infrastrukture potiče se</w:t>
      </w:r>
      <w:r>
        <w:rPr>
          <w:rFonts w:ascii="Times New Roman" w:hAnsi="Times New Roman" w:cs="Times New Roman"/>
          <w:sz w:val="24"/>
        </w:rPr>
        <w:t xml:space="preserve"> uključivanje hrvatskog gospodarstva u međunarodno okruženje, u nastojanju doprinosa dinamici gospodarskog razvitka.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Društvo je u 100 % vlasništvu Republike Hrvatske i svoja prava u Skupštini Društva ostvaruje putem Vlade Republike Hrvatske zastupane po mi</w:t>
      </w:r>
      <w:r>
        <w:rPr>
          <w:rFonts w:ascii="Times New Roman" w:hAnsi="Times New Roman" w:cs="Times New Roman"/>
          <w:sz w:val="24"/>
        </w:rPr>
        <w:t>nistru Ministarstva mora, prometa i infrastrukture.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Poslovanje društva Hrvatske ceste d.o.o. određeno je Zakonom o cestama, Izjavom o osnivanju, Zakonom o trgovačkim društvima, Zakonom o proračunu, odlukama Vlade Republike Hrvatske te drugim zakonima i pra</w:t>
      </w:r>
      <w:r>
        <w:rPr>
          <w:rFonts w:ascii="Times New Roman" w:hAnsi="Times New Roman" w:cs="Times New Roman"/>
          <w:sz w:val="24"/>
        </w:rPr>
        <w:t>vilnicima vezano uz djelatnost Društva. Osnovna djelatnost Društva je upravljanje, građenje i održavanje državnih cesta.</w:t>
      </w:r>
    </w:p>
    <w:p w:rsidR="007B55E9" w:rsidRDefault="00843848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7B55E9">
        <w:tc>
          <w:tcPr>
            <w:tcW w:w="14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2025.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B55E9">
        <w:tc>
          <w:tcPr>
            <w:tcW w:w="14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7B55E9">
        <w:tc>
          <w:tcPr>
            <w:tcW w:w="14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</w:t>
            </w:r>
            <w:r>
              <w:rPr>
                <w:rFonts w:ascii="Times New Roman" w:hAnsi="Times New Roman" w:cs="Times New Roman"/>
                <w:sz w:val="18"/>
              </w:rPr>
              <w:t xml:space="preserve"> POSLOVANJA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219.539.481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385.054.837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245.532.971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111,8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63,8</w:t>
            </w:r>
          </w:p>
        </w:tc>
      </w:tr>
      <w:tr w:rsidR="007B55E9">
        <w:tc>
          <w:tcPr>
            <w:tcW w:w="14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176.705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2.842.000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182.499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103,3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6,4</w:t>
            </w:r>
          </w:p>
        </w:tc>
      </w:tr>
      <w:tr w:rsidR="007B55E9">
        <w:tc>
          <w:tcPr>
            <w:tcW w:w="14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219.716.185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387.896.837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245.715.469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111,8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63,3</w:t>
            </w:r>
          </w:p>
        </w:tc>
      </w:tr>
    </w:tbl>
    <w:p w:rsidR="007B55E9" w:rsidRDefault="007B55E9">
      <w:pPr>
        <w:spacing w:after="0" w:line="240" w:lineRule="auto"/>
      </w:pP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prihodi Društva u prvoj </w:t>
      </w:r>
      <w:r>
        <w:rPr>
          <w:rFonts w:ascii="Times New Roman" w:hAnsi="Times New Roman" w:cs="Times New Roman"/>
          <w:sz w:val="24"/>
        </w:rPr>
        <w:t>polovici 2025. godine ostvareni su u iznosu od 245,72 milijuna eura, odnosno na razini od 63,35 % plana. U odnosu na isto razdoblje godine ranije zabilježili su rast od 11,83 %. Ukupne prihode Društva čine prihodi poslovanja i prihodi od nefinancijske imov</w:t>
      </w:r>
      <w:r>
        <w:rPr>
          <w:rFonts w:ascii="Times New Roman" w:hAnsi="Times New Roman" w:cs="Times New Roman"/>
          <w:sz w:val="24"/>
        </w:rPr>
        <w:t xml:space="preserve">ine. </w:t>
      </w:r>
      <w:bookmarkStart w:id="0" w:name="_GoBack"/>
      <w:bookmarkEnd w:id="0"/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poslovanja zabilježili su međugodišnje povećanje od 11,84 % te u promatranom razdoblju 2025. iznose 245,53 milijuna eura. Najveći udio u tom iznosu odnosi se na pomoći proračunu iz drugih proračuna (241,54 milijuna eura). Navedeni prihod sast</w:t>
      </w:r>
      <w:r>
        <w:rPr>
          <w:rFonts w:ascii="Times New Roman" w:hAnsi="Times New Roman" w:cs="Times New Roman"/>
          <w:sz w:val="24"/>
        </w:rPr>
        <w:t xml:space="preserve">oji se u najvećem dijelu od prihoda iz naknade za financiranje građenja i održavanja javnih cesta u iznosu od 241,05 milijuna eura. 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Povećanje ukupnih prihoda poslovanja u odnosu na isto razdoblje prethodne godine primarno </w:t>
      </w:r>
      <w:r>
        <w:rPr>
          <w:rFonts w:ascii="Times New Roman" w:hAnsi="Times New Roman" w:cs="Times New Roman"/>
          <w:sz w:val="24"/>
        </w:rPr>
        <w:t>je rezultat rasta prihoda iz naknade za financiranje građenja i održavanja javnih cesta. 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od nefinancijske imovine, uključujući naknade za korištenje cestovnog zemljišta, naknade za kontrolu, te dozvole i suglasnosti za izvanredni prijevoz, u prvoj</w:t>
      </w:r>
      <w:r>
        <w:rPr>
          <w:rFonts w:ascii="Times New Roman" w:hAnsi="Times New Roman" w:cs="Times New Roman"/>
          <w:sz w:val="24"/>
        </w:rPr>
        <w:t xml:space="preserve"> polovici 2025. </w:t>
      </w:r>
      <w:r>
        <w:rPr>
          <w:rFonts w:ascii="Times New Roman" w:hAnsi="Times New Roman" w:cs="Times New Roman"/>
          <w:sz w:val="24"/>
        </w:rPr>
        <w:lastRenderedPageBreak/>
        <w:t>godine ostvareni su u iznosu od 1,95 milijuna eura. U usporedbi s istim razdobljem prošle godine, ovi prihodi su smanjeni za 19,94 %, a u odnosu na godišnji plan realizacija je na razini 42,21 %.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od prodaje nefinancijske imovine u p</w:t>
      </w:r>
      <w:r>
        <w:rPr>
          <w:rFonts w:ascii="Times New Roman" w:hAnsi="Times New Roman" w:cs="Times New Roman"/>
          <w:sz w:val="24"/>
        </w:rPr>
        <w:t>rvom polugodištu 2025. godine ostvareni su u iznosu od 182,50 tisuća eura prodajom 2 poslovna objekta i jednog zemljišta koji više nisu bili u funkciji Društva.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Ostali prihodi obuhvaćaju prihode od financijske imovine, prihode po posebnim propisima (uključ</w:t>
      </w:r>
      <w:r>
        <w:rPr>
          <w:rFonts w:ascii="Times New Roman" w:hAnsi="Times New Roman" w:cs="Times New Roman"/>
          <w:sz w:val="24"/>
        </w:rPr>
        <w:t>ujući naplatu prihoda po sudskim presudama, naplatu štete temeljem osiguranja te prihode od sufinanciranja rekonstrukcije ili izgradnje državnih cesta od strane jedinica lokalne samouprave, komunalnih, javnih i ostalih društava), kao i prihode od ostalih p</w:t>
      </w:r>
      <w:r>
        <w:rPr>
          <w:rFonts w:ascii="Times New Roman" w:hAnsi="Times New Roman" w:cs="Times New Roman"/>
          <w:sz w:val="24"/>
        </w:rPr>
        <w:t>ruženih usluga.</w:t>
      </w:r>
    </w:p>
    <w:p w:rsidR="007B55E9" w:rsidRDefault="00843848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7B55E9">
        <w:tc>
          <w:tcPr>
            <w:tcW w:w="14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2025.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B55E9">
        <w:tc>
          <w:tcPr>
            <w:tcW w:w="14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7B55E9">
        <w:tc>
          <w:tcPr>
            <w:tcW w:w="1400" w:type="pct"/>
            <w:vAlign w:val="center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99.237.342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218.724.752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97.367.628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98,1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44,5</w:t>
            </w:r>
          </w:p>
        </w:tc>
      </w:tr>
      <w:tr w:rsidR="007B55E9">
        <w:tc>
          <w:tcPr>
            <w:tcW w:w="14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114.026.628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315.530.658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124.735.844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109,4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39,5</w:t>
            </w:r>
          </w:p>
        </w:tc>
      </w:tr>
      <w:tr w:rsidR="007B55E9">
        <w:tc>
          <w:tcPr>
            <w:tcW w:w="14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213.263.971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534.255.410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222.103.473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104,1</w:t>
            </w:r>
          </w:p>
        </w:tc>
        <w:tc>
          <w:tcPr>
            <w:tcW w:w="5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41,6</w:t>
            </w:r>
          </w:p>
        </w:tc>
      </w:tr>
    </w:tbl>
    <w:p w:rsidR="007B55E9" w:rsidRDefault="007B55E9">
      <w:pPr>
        <w:spacing w:after="0" w:line="240" w:lineRule="auto"/>
      </w:pP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rashodi Društva planirani su za 2025. godinu na razini od 534,26 milijuna eura. Ukupno izvršeni rashodi u </w:t>
      </w:r>
      <w:r>
        <w:rPr>
          <w:rFonts w:ascii="Times New Roman" w:hAnsi="Times New Roman" w:cs="Times New Roman"/>
          <w:sz w:val="24"/>
        </w:rPr>
        <w:t>prvih šest mjeseci 2025. godine iznose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222,10 milijuna eura što je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4,14 % više nego prethodne godine. 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poslovanja zabilježili su međugodišnji pad od 1,88 % te u promatranom razdoblju iznose 97,37 milijuna eura.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</w:t>
      </w:r>
      <w:r>
        <w:rPr>
          <w:rFonts w:ascii="Times New Roman" w:hAnsi="Times New Roman" w:cs="Times New Roman"/>
          <w:sz w:val="24"/>
        </w:rPr>
        <w:t xml:space="preserve">za zaposlene izvršeni su u iznosu od 10,93 milijuna eura što predstavlja izvršenje od 40,77 % planiranih sredstava za tu namjenu. 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Ukupno izvršenje materijalnih rashoda iznosi 51,31 milijuna eura, to jest 39,72 % plana za 2025. godinu te je realizacija već</w:t>
      </w:r>
      <w:r>
        <w:rPr>
          <w:rFonts w:ascii="Times New Roman" w:hAnsi="Times New Roman" w:cs="Times New Roman"/>
          <w:sz w:val="24"/>
        </w:rPr>
        <w:t>a za 0,74 % u odnosu na isto razdoblje 2024. godine. U strukturi materijalnih rashoda za promatrano razdoblje 91 % čine rashodi za usluge koji se najvećim dijelom sastoje od rashoda za redovito održavanje državnih cesta i objekata, izvanrednog održavanja d</w:t>
      </w:r>
      <w:r>
        <w:rPr>
          <w:rFonts w:ascii="Times New Roman" w:hAnsi="Times New Roman" w:cs="Times New Roman"/>
          <w:sz w:val="24"/>
        </w:rPr>
        <w:t>ržavnih cesta, te održavanje zgrada i opreme. Povećanje materijalnih rashoda u odnosu na promatrano razdoblje prethodne godine najvećim je dijelom rezultat većeg ulaganja u redovito i izvanredno održavanje cesta.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2025. godini financijski rashodi izvršeni</w:t>
      </w:r>
      <w:r>
        <w:rPr>
          <w:rFonts w:ascii="Times New Roman" w:hAnsi="Times New Roman" w:cs="Times New Roman"/>
          <w:sz w:val="24"/>
        </w:rPr>
        <w:t xml:space="preserve"> su u iznosu od 33,38 milijuna eura od čega se najveći dio odnosi na kamate za primljene kredite i zajmove. 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rashodi za nabavu </w:t>
      </w:r>
      <w:r>
        <w:rPr>
          <w:rFonts w:ascii="Times New Roman" w:hAnsi="Times New Roman" w:cs="Times New Roman"/>
          <w:sz w:val="24"/>
        </w:rPr>
        <w:t>nefinancijske imovine u 2025. godini planirani su u iznosu od 315,53 milijuna eura od čega je tijekom prvih šest mjeseci realizirano 124,74 milijuna eura odnosno 39,53 % plana. U odnosu na isto razdoblje prošle godine realizacija je veća za 9,39 %. U struk</w:t>
      </w:r>
      <w:r>
        <w:rPr>
          <w:rFonts w:ascii="Times New Roman" w:hAnsi="Times New Roman" w:cs="Times New Roman"/>
          <w:sz w:val="24"/>
        </w:rPr>
        <w:t>turi rashoda za nabavu nefinancijske imovine najveći dio se odnosi na rashode za nabavu proizvedene dugotrajne imovine u iznosu od 100,33  milijuna eura, od čega 98,74 milijuna eura čine rashodi za građevinske objekte (izgradnja državnih cesta, investicijs</w:t>
      </w:r>
      <w:r>
        <w:rPr>
          <w:rFonts w:ascii="Times New Roman" w:hAnsi="Times New Roman" w:cs="Times New Roman"/>
          <w:sz w:val="24"/>
        </w:rPr>
        <w:t>ko održavanje i rekonstrukcija državnih cesta).</w:t>
      </w:r>
    </w:p>
    <w:p w:rsidR="007B55E9" w:rsidRDefault="00843848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br/>
        <w:t>RAČUN FINANCIRANJA</w:t>
      </w:r>
    </w:p>
    <w:p w:rsidR="007B55E9" w:rsidRDefault="00843848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7B55E9">
        <w:tc>
          <w:tcPr>
            <w:tcW w:w="2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B55E9">
        <w:tc>
          <w:tcPr>
            <w:tcW w:w="2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7B55E9">
        <w:tc>
          <w:tcPr>
            <w:tcW w:w="2500" w:type="pct"/>
            <w:vAlign w:val="center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387.896.837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245.715.469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63,3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534.255.410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222.103.473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41,6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-146.358.573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23.611.996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-16,1</w:t>
            </w:r>
          </w:p>
        </w:tc>
      </w:tr>
    </w:tbl>
    <w:p w:rsidR="007B55E9" w:rsidRDefault="007B55E9">
      <w:pPr>
        <w:spacing w:after="0" w:line="240" w:lineRule="auto"/>
      </w:pPr>
    </w:p>
    <w:p w:rsidR="007B55E9" w:rsidRDefault="00843848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7B55E9">
        <w:tc>
          <w:tcPr>
            <w:tcW w:w="2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2025.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2025.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B55E9">
        <w:tc>
          <w:tcPr>
            <w:tcW w:w="25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B55E9" w:rsidRDefault="0084384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7B55E9">
        <w:tc>
          <w:tcPr>
            <w:tcW w:w="2500" w:type="pct"/>
            <w:vAlign w:val="center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213.679.735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B55E9" w:rsidRDefault="007B55E9">
            <w:pPr>
              <w:spacing w:after="0" w:line="240" w:lineRule="auto"/>
              <w:jc w:val="right"/>
            </w:pP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</w:t>
            </w:r>
            <w:r>
              <w:rPr>
                <w:rFonts w:ascii="Times New Roman" w:hAnsi="Times New Roman" w:cs="Times New Roman"/>
                <w:sz w:val="18"/>
              </w:rPr>
              <w:t xml:space="preserve"> FINANCIJSKU IMOVINU I OTPLATE ZAJMOVA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67.321.162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33.817.701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50,2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146.358.573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-33.817.701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-23,1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46.431.330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50.355.077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108,5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-46.431.330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-40.149.372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86,5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146.358.573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-23.611.996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-16,1</w:t>
            </w:r>
          </w:p>
        </w:tc>
      </w:tr>
      <w:tr w:rsidR="007B55E9">
        <w:tc>
          <w:tcPr>
            <w:tcW w:w="2500" w:type="pct"/>
            <w:vAlign w:val="bottom"/>
          </w:tcPr>
          <w:p w:rsidR="007B55E9" w:rsidRDefault="0084384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B55E9" w:rsidRDefault="00843848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B55E9" w:rsidRDefault="007B55E9">
            <w:pPr>
              <w:spacing w:after="0" w:line="240" w:lineRule="auto"/>
              <w:jc w:val="right"/>
            </w:pPr>
          </w:p>
        </w:tc>
      </w:tr>
    </w:tbl>
    <w:p w:rsidR="007B55E9" w:rsidRDefault="007B55E9">
      <w:pPr>
        <w:spacing w:after="0" w:line="240" w:lineRule="auto"/>
      </w:pP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prvoj polovici 2025. godine Društvo nije imalo primitaka od zaduživanja, dok su izdaci za otplatu glavnice </w:t>
      </w:r>
      <w:r>
        <w:rPr>
          <w:rFonts w:ascii="Times New Roman" w:hAnsi="Times New Roman" w:cs="Times New Roman"/>
          <w:sz w:val="24"/>
        </w:rPr>
        <w:t>primljenih kredita i zajmova iznosili 33,82 milijuna eura, odnosno 50,23 % plana.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b/>
          <w:sz w:val="24"/>
        </w:rPr>
        <w:t>PRIJENOS SREDSTAVA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iz prethodne godine prema Izvršenju financijskog plana Hrvatskih cesta za prvo polugodište 2025. godine iznosi 50,36 milijuna eura. Na</w:t>
      </w:r>
      <w:r>
        <w:rPr>
          <w:rFonts w:ascii="Times New Roman" w:hAnsi="Times New Roman" w:cs="Times New Roman"/>
          <w:sz w:val="24"/>
        </w:rPr>
        <w:t>jveći dio prenesenih sredstava odnosi se na stanje na redovnim računima Hrvatskih cesta. Ova sredstva omogućavaju održavanje stabilnosti i likvidnosti Društva u početnom periodu godine. Prenesena sredstva uključuju i namjenska sredstva za financiranje proj</w:t>
      </w:r>
      <w:r>
        <w:rPr>
          <w:rFonts w:ascii="Times New Roman" w:hAnsi="Times New Roman" w:cs="Times New Roman"/>
          <w:sz w:val="24"/>
        </w:rPr>
        <w:t>ekata koji se sufinanciraju iz fondova Europske unije te deponirana sredstva za izvlaštenje zemljišta i sudski polozi.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u sljedeće razdoblje iznosi 40,15 milijuna eura.</w:t>
      </w:r>
    </w:p>
    <w:p w:rsidR="007B55E9" w:rsidRDefault="00843848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DOMAĆEM I STRANOM TRŽIŠTU NOVCA I KAPITAL</w:t>
      </w:r>
      <w:r>
        <w:rPr>
          <w:rFonts w:ascii="Times New Roman" w:hAnsi="Times New Roman" w:cs="Times New Roman"/>
          <w:b/>
          <w:sz w:val="24"/>
        </w:rPr>
        <w:t>A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razdoblju od siječnja do lipnja 2025. godine, Društvo se nije zaduživalo.</w:t>
      </w:r>
    </w:p>
    <w:p w:rsidR="007B55E9" w:rsidRDefault="00843848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lastRenderedPageBreak/>
        <w:br/>
        <w:t xml:space="preserve">IZVJEŠTAJ O DANIM JAMSTVIMA I PLAĆANJIMA PO PROTESTIRANIM JAMSTVIMA </w:t>
      </w:r>
    </w:p>
    <w:p w:rsidR="007B55E9" w:rsidRDefault="00843848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razdoblju od siječnja do lipnja 2025. godine, Društvo nije izdalo jamstva niti izvršilo plaćanja po protes</w:t>
      </w:r>
      <w:r>
        <w:rPr>
          <w:rFonts w:ascii="Times New Roman" w:hAnsi="Times New Roman" w:cs="Times New Roman"/>
          <w:sz w:val="24"/>
        </w:rPr>
        <w:t>tiranim jamstvima.</w:t>
      </w:r>
    </w:p>
    <w:sectPr w:rsidR="007B55E9" w:rsidSect="00843848">
      <w:footerReference w:type="default" r:id="rId6"/>
      <w:pgSz w:w="12240" w:h="15840"/>
      <w:pgMar w:top="1417" w:right="1417" w:bottom="1417" w:left="1417" w:header="720" w:footer="72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848" w:rsidRDefault="00843848" w:rsidP="00843848">
      <w:pPr>
        <w:spacing w:after="0" w:line="240" w:lineRule="auto"/>
      </w:pPr>
      <w:r>
        <w:separator/>
      </w:r>
    </w:p>
  </w:endnote>
  <w:endnote w:type="continuationSeparator" w:id="0">
    <w:p w:rsidR="00843848" w:rsidRDefault="00843848" w:rsidP="0084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388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43848" w:rsidRPr="00843848" w:rsidRDefault="00843848">
        <w:pPr>
          <w:pStyle w:val="Podnoje"/>
          <w:jc w:val="center"/>
          <w:rPr>
            <w:rFonts w:ascii="Times New Roman" w:hAnsi="Times New Roman" w:cs="Times New Roman"/>
          </w:rPr>
        </w:pPr>
        <w:r w:rsidRPr="00843848">
          <w:rPr>
            <w:rFonts w:ascii="Times New Roman" w:hAnsi="Times New Roman" w:cs="Times New Roman"/>
          </w:rPr>
          <w:fldChar w:fldCharType="begin"/>
        </w:r>
        <w:r w:rsidRPr="00843848">
          <w:rPr>
            <w:rFonts w:ascii="Times New Roman" w:hAnsi="Times New Roman" w:cs="Times New Roman"/>
          </w:rPr>
          <w:instrText>PAGE   \* MERGEFORMAT</w:instrText>
        </w:r>
        <w:r w:rsidRPr="0084384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11</w:t>
        </w:r>
        <w:r w:rsidRPr="00843848">
          <w:rPr>
            <w:rFonts w:ascii="Times New Roman" w:hAnsi="Times New Roman" w:cs="Times New Roman"/>
          </w:rPr>
          <w:fldChar w:fldCharType="end"/>
        </w:r>
      </w:p>
    </w:sdtContent>
  </w:sdt>
  <w:p w:rsidR="00843848" w:rsidRDefault="0084384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848" w:rsidRDefault="00843848" w:rsidP="00843848">
      <w:pPr>
        <w:spacing w:after="0" w:line="240" w:lineRule="auto"/>
      </w:pPr>
      <w:r>
        <w:separator/>
      </w:r>
    </w:p>
  </w:footnote>
  <w:footnote w:type="continuationSeparator" w:id="0">
    <w:p w:rsidR="00843848" w:rsidRDefault="00843848" w:rsidP="00843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55E9"/>
    <w:rsid w:val="007B55E9"/>
    <w:rsid w:val="0084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87C67-6078-4347-91D7-5CA558A1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43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3848"/>
  </w:style>
  <w:style w:type="paragraph" w:styleId="Podnoje">
    <w:name w:val="footer"/>
    <w:basedOn w:val="Normal"/>
    <w:link w:val="PodnojeChar"/>
    <w:uiPriority w:val="99"/>
    <w:unhideWhenUsed/>
    <w:rsid w:val="00843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3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1097</Words>
  <Characters>6255</Characters>
  <Application>Microsoft Office Word</Application>
  <DocSecurity>0</DocSecurity>
  <Lines>52</Lines>
  <Paragraphs>14</Paragraphs>
  <ScaleCrop>false</ScaleCrop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 Hegeduš</cp:lastModifiedBy>
  <cp:revision>2</cp:revision>
  <dcterms:created xsi:type="dcterms:W3CDTF">2025-09-05T11:38:00Z</dcterms:created>
  <dcterms:modified xsi:type="dcterms:W3CDTF">2025-09-05T11:39:00Z</dcterms:modified>
</cp:coreProperties>
</file>